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line="240" w:lineRule="auto"/>
        <w:jc w:val="both"/>
        <w:rPr>
          <w:rFonts w:ascii="Arial" w:cs="Arial" w:eastAsia="Arial" w:hAnsi="Arial"/>
          <w:b w:val="1"/>
          <w:sz w:val="36"/>
          <w:szCs w:val="36"/>
        </w:rPr>
      </w:pPr>
      <w:r w:rsidDel="00000000" w:rsidR="00000000" w:rsidRPr="00000000">
        <w:rPr>
          <w:rtl w:val="0"/>
        </w:rPr>
      </w:r>
    </w:p>
    <w:tbl>
      <w:tblPr>
        <w:tblStyle w:val="Table1"/>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2">
            <w:pPr>
              <w:widowControl w:val="0"/>
              <w:spacing w:after="0" w:line="240" w:lineRule="auto"/>
              <w:rPr>
                <w:rFonts w:ascii="Arial" w:cs="Arial" w:eastAsia="Arial" w:hAnsi="Arial"/>
                <w:b w:val="1"/>
                <w:highlight w:val="yellow"/>
              </w:rPr>
            </w:pPr>
            <w:bookmarkStart w:colFirst="0" w:colLast="0" w:name="_heading=h.gjdgxs" w:id="0"/>
            <w:bookmarkEnd w:id="0"/>
            <w:r w:rsidDel="00000000" w:rsidR="00000000" w:rsidRPr="00000000">
              <w:rPr>
                <w:rFonts w:ascii="Arial" w:cs="Arial" w:eastAsia="Arial" w:hAnsi="Arial"/>
                <w:b w:val="1"/>
                <w:highlight w:val="yellow"/>
                <w:rtl w:val="0"/>
              </w:rPr>
              <w:t xml:space="preserve">PLEASE RETAIN A COPY OF THIS SCHEDULE AS THIS FORMS PART OF YOUR CALL-OFF CONTRACT</w:t>
            </w:r>
          </w:p>
        </w:tc>
      </w:tr>
    </w:tbl>
    <w:p w:rsidR="00000000" w:rsidDel="00000000" w:rsidP="00000000" w:rsidRDefault="00000000" w:rsidRPr="00000000" w14:paraId="00000003">
      <w:pPr>
        <w:spacing w:after="240" w:line="240" w:lineRule="auto"/>
        <w:jc w:val="both"/>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4">
      <w:pPr>
        <w:widowControl w:val="0"/>
        <w:spacing w:after="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sz w:val="36"/>
          <w:szCs w:val="36"/>
          <w:rtl w:val="0"/>
        </w:rPr>
        <w:t xml:space="preserve">Schedule 7 (Key Supplier Staff) </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240" w:before="240" w:line="240" w:lineRule="auto"/>
        <w:ind w:left="794" w:right="0" w:hanging="7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240" w:before="240" w:line="240" w:lineRule="auto"/>
        <w:ind w:left="794" w:right="0" w:hanging="7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Key Staff fulfil the Key Roles at all times during the Contract Period.</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240" w:before="240" w:line="240" w:lineRule="auto"/>
        <w:ind w:left="794" w:right="0" w:hanging="7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identify any further roles as being Key Roles and, following agreement to the same by the Supplier, the relevant person selected to fill those Key Roles shall be included on the list of Key Staff.</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240" w:before="240" w:line="240" w:lineRule="auto"/>
        <w:ind w:left="794" w:right="0" w:hanging="7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and shall procure that any Subcontractor shall not remove or replace any Key Staff unless:</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560"/>
        </w:tabs>
        <w:spacing w:after="80" w:before="80" w:line="240" w:lineRule="auto"/>
        <w:ind w:left="1560"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requested to do so by the Buyer or the Buyer Approves such removal or replacement (not to be unreasonably withheld or delayed);</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560"/>
        </w:tabs>
        <w:spacing w:after="80" w:before="80" w:line="240" w:lineRule="auto"/>
        <w:ind w:left="1560"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concerned resigns, retires or dies or is on maternity or long-term sick leave; or</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560"/>
        </w:tabs>
        <w:spacing w:after="80" w:before="80" w:line="240" w:lineRule="auto"/>
        <w:ind w:left="1560"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240" w:before="240" w:line="240" w:lineRule="auto"/>
        <w:ind w:left="794" w:right="0" w:hanging="7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560"/>
        </w:tabs>
        <w:spacing w:after="80" w:before="80" w:line="240" w:lineRule="auto"/>
        <w:ind w:left="1560"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promptly of the absence of any Key Staff (other than for short-term sickness or holidays of two (2) weeks or less, in which case the Supplier shall ensure appropriate temporary cover for that Key Role); 1.11</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560"/>
        </w:tabs>
        <w:spacing w:after="80" w:before="80" w:line="240" w:lineRule="auto"/>
        <w:ind w:left="1560"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any Key Role is not vacant for any longer than ten (10) Working Days;</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560"/>
        </w:tabs>
        <w:spacing w:after="80" w:before="80" w:line="240" w:lineRule="auto"/>
        <w:ind w:left="1560"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560"/>
        </w:tabs>
        <w:spacing w:after="80" w:before="80" w:line="240" w:lineRule="auto"/>
        <w:ind w:left="1560"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560"/>
        </w:tabs>
        <w:spacing w:after="80" w:before="80" w:line="240" w:lineRule="auto"/>
        <w:ind w:left="1560"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240" w:before="240" w:line="240" w:lineRule="auto"/>
        <w:ind w:left="794" w:right="0" w:hanging="7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require the Supplier to remove or procure that any Subcontractor shall remove any Key Staff that the Buyer considers in any respect unsatisfactory. The Buyer shall not be liable for the cost of replacing any Key Staff.</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240" w:before="240" w:line="240" w:lineRule="auto"/>
        <w:ind w:left="794" w:right="0" w:hanging="7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Personnel adhere and comply with Buyers’ safety and confidentiality requirements in full at all times.</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240" w:before="240" w:line="240" w:lineRule="auto"/>
        <w:ind w:left="794" w:right="0" w:hanging="7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Personnel shall possess the qualifications, experience and competence appropriate to the tasks for which they are employed.</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240" w:before="240" w:line="240" w:lineRule="auto"/>
        <w:ind w:left="794" w:right="0" w:hanging="7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Personnel supplying the Services of this Framework Agreement and any Call Off Contracts act in a responsible and professional manner, and provide the Services with all due skill, care and diligence as is to be expected of a skilled professional engaged in the supply of the required Services</w:t>
      </w:r>
    </w:p>
    <w:p w:rsidR="00000000" w:rsidDel="00000000" w:rsidP="00000000" w:rsidRDefault="00000000" w:rsidRPr="00000000" w14:paraId="00000016">
      <w:pPr>
        <w:ind w:left="720" w:hanging="720"/>
        <w:jc w:val="center"/>
        <w:rPr>
          <w:rFonts w:ascii="Arial" w:cs="Arial" w:eastAsia="Arial" w:hAnsi="Arial"/>
          <w:b w:val="1"/>
          <w:sz w:val="24"/>
          <w:szCs w:val="24"/>
        </w:rPr>
      </w:pPr>
      <w:r w:rsidDel="00000000" w:rsidR="00000000" w:rsidRPr="00000000">
        <w:rPr>
          <w:rtl w:val="0"/>
        </w:rPr>
      </w:r>
    </w:p>
    <w:tbl>
      <w:tblPr>
        <w:tblStyle w:val="Table2"/>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26"/>
        <w:tblGridChange w:id="0">
          <w:tblGrid>
            <w:gridCol w:w="9026"/>
          </w:tblGrid>
        </w:tblGridChange>
      </w:tblGrid>
    </w:tbl>
    <w:p w:rsidR="00000000" w:rsidDel="00000000" w:rsidP="00000000" w:rsidRDefault="00000000" w:rsidRPr="00000000" w14:paraId="00000017">
      <w:pPr>
        <w:ind w:left="720" w:hanging="720"/>
        <w:rPr>
          <w:rFonts w:ascii="Arial" w:cs="Arial" w:eastAsia="Arial" w:hAnsi="Arial"/>
          <w:b w:val="1"/>
          <w:sz w:val="24"/>
          <w:szCs w:val="24"/>
        </w:rPr>
      </w:pPr>
      <w:r w:rsidDel="00000000" w:rsidR="00000000" w:rsidRPr="00000000">
        <w:rPr>
          <w:rtl w:val="0"/>
        </w:rPr>
        <w:t xml:space="preserve">     </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r>
    <w:r w:rsidDel="00000000" w:rsidR="00000000" w:rsidRPr="00000000">
      <w:rPr>
        <w:rFonts w:ascii="Arial" w:cs="Arial" w:eastAsia="Arial" w:hAnsi="Arial"/>
        <w:sz w:val="20"/>
        <w:szCs w:val="20"/>
        <w:rtl w:val="0"/>
      </w:rPr>
      <w:t xml:space="preserve">361 Multifunctional Devices (MFDs), GovPrint Hardware, Managed Print Services and Digital Workflow Software Services</w:t>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000000"/>
        <w:sz w:val="20"/>
        <w:szCs w:val="20"/>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v3.0</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Schedule 7 (Key Supplier Staff)</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 w:val="left" w:leader="none" w:pos="5244"/>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 w:val="left" w:leader="none" w:pos="5244"/>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1C723A"/>
    <w:rPr>
      <w:rFonts w:cs="Times New Roman"/>
    </w:rPr>
  </w:style>
  <w:style w:type="paragraph" w:styleId="Heading1">
    <w:name w:val="heading 1"/>
    <w:basedOn w:val="Normal"/>
    <w:next w:val="Normal"/>
    <w:uiPriority w:val="9"/>
    <w:qFormat w:val="1"/>
    <w:rsid w:val="001C723A"/>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rsid w:val="001C723A"/>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rsid w:val="001C723A"/>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rsid w:val="001C723A"/>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rsid w:val="001C723A"/>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rsid w:val="001C723A"/>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rsid w:val="001C723A"/>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rsid w:val="001C723A"/>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rsid w:val="001C723A"/>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rsid w:val="001C723A"/>
    <w:pPr>
      <w:numPr>
        <w:ilvl w:val="4"/>
      </w:numPr>
      <w:tabs>
        <w:tab w:val="num" w:pos="360"/>
        <w:tab w:val="left" w:pos="3119"/>
      </w:tabs>
    </w:pPr>
  </w:style>
  <w:style w:type="paragraph" w:styleId="GPSL2NumberedBoldHeading" w:customStyle="1">
    <w:name w:val="GPS L2 Numbered Bold Heading"/>
    <w:basedOn w:val="Normal"/>
    <w:qFormat w:val="1"/>
    <w:rsid w:val="001C723A"/>
    <w:pPr>
      <w:numPr>
        <w:ilvl w:val="1"/>
        <w:numId w:val="1"/>
      </w:numPr>
      <w:tabs>
        <w:tab w:val="left" w:pos="1134"/>
      </w:tabs>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rsid w:val="001C723A"/>
    <w:pPr>
      <w:numPr>
        <w:ilvl w:val="5"/>
      </w:numPr>
      <w:tabs>
        <w:tab w:val="num" w:pos="360"/>
        <w:tab w:val="num" w:pos="3600"/>
        <w:tab w:val="left" w:pos="3686"/>
      </w:tabs>
    </w:pPr>
  </w:style>
  <w:style w:type="character" w:styleId="GPSL3numberedclauseChar" w:customStyle="1">
    <w:name w:val="GPS L3 numbered clause Char"/>
    <w:link w:val="GPSL3numberedclause"/>
    <w:locked w:val="1"/>
    <w:rPr>
      <w:rFonts w:cs="Arial" w:eastAsia="Times New Roman"/>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pPr>
      <w:spacing w:after="0" w:line="240" w:lineRule="auto"/>
    </w:pPr>
    <w:rPr>
      <w:sz w:val="20"/>
      <w:szCs w:val="20"/>
    </w:rPr>
    <w:tblPr>
      <w:tblStyleRowBandSize w:val="1"/>
      <w:tblStyleColBandSize w:val="1"/>
    </w:tblPr>
  </w:style>
  <w:style w:type="paragraph" w:styleId="Revision">
    <w:name w:val="Revision"/>
    <w:hidden w:val="1"/>
    <w:uiPriority w:val="99"/>
    <w:semiHidden w:val="1"/>
    <w:rsid w:val="001C723A"/>
    <w:pPr>
      <w:spacing w:after="0" w:line="240" w:lineRule="auto"/>
    </w:pPr>
    <w:rPr>
      <w:rFonts w:cs="Times New Roman"/>
    </w:r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table" w:styleId="a5"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table" w:styleId="a6"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D23637"/>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sz w:val="20"/>
      <w:szCs w:val="20"/>
    </w:rPr>
    <w:tblPr>
      <w:tblStyleRowBandSize w:val="1"/>
      <w:tblStyleColBandSize w:val="1"/>
      <w:tblCellMar>
        <w:top w:w="100.0" w:type="dxa"/>
        <w:left w:w="115.0" w:type="dxa"/>
        <w:bottom w:w="10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100.0" w:type="dxa"/>
        <w:left w:w="115.0" w:type="dxa"/>
        <w:bottom w:w="100.0" w:type="dxa"/>
        <w:right w:w="115.0" w:type="dxa"/>
      </w:tblCellMar>
    </w:tblPr>
  </w:style>
  <w:style w:type="table" w:styleId="Table2">
    <w:basedOn w:val="TableNormal"/>
    <w:pPr>
      <w:spacing w:after="0" w:line="240" w:lineRule="auto"/>
    </w:pPr>
    <w:rPr>
      <w:sz w:val="20"/>
      <w:szCs w:val="20"/>
    </w:rPr>
    <w:tblPr>
      <w:tblStyleRowBandSize w:val="1"/>
      <w:tblStyleColBandSize w:val="1"/>
      <w:tblCellMar>
        <w:top w:w="100.0" w:type="dxa"/>
        <w:left w:w="115.0" w:type="dxa"/>
        <w:bottom w:w="10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9QEYkQdnSAdkjaoYlvNot5Ncig==">CgMxLjAyCGguZ2pkZ3hzOAByITFNZU1lX19GbXBWWU1zeURKeWtydk1PTDFsM296bXIwMw==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2024-12-18T09:58:00Z</dcterms:created>
  <dc:creator>Barbara Smith1</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